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DE1FB" w14:textId="77777777" w:rsidR="00F21FF7" w:rsidRPr="00CE0DD9" w:rsidRDefault="00CE0DD9">
      <w:pPr>
        <w:pStyle w:val="Title"/>
        <w:rPr>
          <w:lang w:val="en-GB"/>
        </w:rPr>
      </w:pPr>
      <w:bookmarkStart w:id="0" w:name="Introduction"/>
      <w:bookmarkEnd w:id="0"/>
      <w:r w:rsidRPr="00CE0DD9">
        <w:rPr>
          <w:spacing w:val="-2"/>
          <w:lang w:val="en-GB"/>
        </w:rPr>
        <w:t>Introduction</w:t>
      </w:r>
    </w:p>
    <w:p w14:paraId="559DE1FC" w14:textId="77777777" w:rsidR="00F21FF7" w:rsidRPr="00CE0DD9" w:rsidRDefault="00CE0DD9">
      <w:pPr>
        <w:pStyle w:val="BodyText"/>
        <w:spacing w:before="1"/>
        <w:ind w:left="0"/>
        <w:rPr>
          <w:b/>
          <w:sz w:val="4"/>
          <w:lang w:val="en-GB"/>
        </w:rPr>
      </w:pPr>
      <w:r w:rsidRPr="00CE0DD9">
        <w:rPr>
          <w:noProof/>
          <w:lang w:val="en-GB"/>
        </w:rPr>
        <mc:AlternateContent>
          <mc:Choice Requires="wps">
            <w:drawing>
              <wp:anchor distT="0" distB="0" distL="0" distR="0" simplePos="0" relativeHeight="487587840" behindDoc="1" locked="0" layoutInCell="1" allowOverlap="1" wp14:anchorId="559DE212" wp14:editId="559DE213">
                <wp:simplePos x="0" y="0"/>
                <wp:positionH relativeFrom="page">
                  <wp:posOffset>1152000</wp:posOffset>
                </wp:positionH>
                <wp:positionV relativeFrom="paragraph">
                  <wp:posOffset>45519</wp:posOffset>
                </wp:positionV>
                <wp:extent cx="568452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4520" cy="1270"/>
                        </a:xfrm>
                        <a:custGeom>
                          <a:avLst/>
                          <a:gdLst/>
                          <a:ahLst/>
                          <a:cxnLst/>
                          <a:rect l="l" t="t" r="r" b="b"/>
                          <a:pathLst>
                            <a:path w="5684520">
                              <a:moveTo>
                                <a:pt x="0" y="0"/>
                              </a:moveTo>
                              <a:lnTo>
                                <a:pt x="5684494"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2BEDB2F3" id="Graphic 1" o:spid="_x0000_s1026" style="position:absolute;margin-left:90.7pt;margin-top:3.6pt;width:447.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4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" path="m,l5684494,e" filled="f" strokecolor="#0075bf" strokeweight="2pt">
                <v:path arrowok="t"/>
                <w10:wrap type="topAndBottom" anchorx="page"/>
              </v:shape>
            </w:pict>
          </mc:Fallback>
        </mc:AlternateContent>
      </w:r>
    </w:p>
    <w:p w14:paraId="559DE1FD" w14:textId="77777777" w:rsidR="00F21FF7" w:rsidRPr="00CE0DD9" w:rsidRDefault="00F21FF7">
      <w:pPr>
        <w:pStyle w:val="BodyText"/>
        <w:ind w:left="0"/>
        <w:rPr>
          <w:b/>
          <w:sz w:val="20"/>
          <w:lang w:val="en-GB"/>
        </w:rPr>
      </w:pPr>
    </w:p>
    <w:p w14:paraId="559DE1FE" w14:textId="77777777" w:rsidR="00F21FF7" w:rsidRPr="00CE0DD9" w:rsidRDefault="00F21FF7">
      <w:pPr>
        <w:pStyle w:val="BodyText"/>
        <w:spacing w:before="158"/>
        <w:ind w:left="0"/>
        <w:rPr>
          <w:b/>
          <w:sz w:val="20"/>
          <w:lang w:val="en-GB"/>
        </w:rPr>
      </w:pPr>
    </w:p>
    <w:p w14:paraId="559DE1FF" w14:textId="77777777" w:rsidR="00F21FF7" w:rsidRPr="00CE0DD9" w:rsidRDefault="00F21FF7">
      <w:pPr>
        <w:rPr>
          <w:sz w:val="20"/>
          <w:lang w:val="en-GB"/>
        </w:rPr>
        <w:sectPr w:rsidR="00F21FF7" w:rsidRPr="00CE0DD9">
          <w:type w:val="continuous"/>
          <w:pgSz w:w="11900" w:h="16840"/>
          <w:pgMar w:top="960" w:right="1020" w:bottom="280" w:left="1680" w:header="720" w:footer="720" w:gutter="0"/>
          <w:cols w:space="720"/>
        </w:sectPr>
      </w:pPr>
    </w:p>
    <w:p w14:paraId="559DE200" w14:textId="77777777" w:rsidR="00F21FF7" w:rsidRPr="00CE0DD9" w:rsidRDefault="00CE0DD9">
      <w:pPr>
        <w:pStyle w:val="BodyText"/>
        <w:spacing w:before="96" w:line="254" w:lineRule="auto"/>
        <w:ind w:left="828" w:right="13"/>
        <w:rPr>
          <w:lang w:val="en-GB"/>
        </w:rPr>
      </w:pPr>
      <w:r w:rsidRPr="00CE0DD9">
        <w:rPr>
          <w:lang w:val="en-GB"/>
        </w:rPr>
        <w:t>The four services presented here reflect the belief of the Reformers that the service of Word and Sacrament is the normative service of the church – as</w:t>
      </w:r>
      <w:r w:rsidRPr="00CE0DD9">
        <w:rPr>
          <w:spacing w:val="-7"/>
          <w:lang w:val="en-GB"/>
        </w:rPr>
        <w:t xml:space="preserve"> </w:t>
      </w:r>
      <w:r w:rsidRPr="00CE0DD9">
        <w:rPr>
          <w:lang w:val="en-GB"/>
        </w:rPr>
        <w:t>we</w:t>
      </w:r>
      <w:r w:rsidRPr="00CE0DD9">
        <w:rPr>
          <w:spacing w:val="-6"/>
          <w:lang w:val="en-GB"/>
        </w:rPr>
        <w:t xml:space="preserve"> </w:t>
      </w:r>
      <w:r w:rsidRPr="00CE0DD9">
        <w:rPr>
          <w:lang w:val="en-GB"/>
        </w:rPr>
        <w:t>read</w:t>
      </w:r>
      <w:r w:rsidRPr="00CE0DD9">
        <w:rPr>
          <w:spacing w:val="-6"/>
          <w:lang w:val="en-GB"/>
        </w:rPr>
        <w:t xml:space="preserve"> </w:t>
      </w:r>
      <w:r w:rsidRPr="00CE0DD9">
        <w:rPr>
          <w:lang w:val="en-GB"/>
        </w:rPr>
        <w:t>in</w:t>
      </w:r>
      <w:r w:rsidRPr="00CE0DD9">
        <w:rPr>
          <w:spacing w:val="-16"/>
          <w:lang w:val="en-GB"/>
        </w:rPr>
        <w:t xml:space="preserve"> </w:t>
      </w:r>
      <w:r w:rsidRPr="00CE0DD9">
        <w:rPr>
          <w:lang w:val="en-GB"/>
        </w:rPr>
        <w:t>Acts</w:t>
      </w:r>
      <w:r w:rsidRPr="00CE0DD9">
        <w:rPr>
          <w:spacing w:val="-6"/>
          <w:lang w:val="en-GB"/>
        </w:rPr>
        <w:t xml:space="preserve"> </w:t>
      </w:r>
      <w:r w:rsidRPr="00CE0DD9">
        <w:rPr>
          <w:lang w:val="en-GB"/>
        </w:rPr>
        <w:t>2:42,</w:t>
      </w:r>
      <w:r w:rsidRPr="00CE0DD9">
        <w:rPr>
          <w:spacing w:val="-6"/>
          <w:lang w:val="en-GB"/>
        </w:rPr>
        <w:t xml:space="preserve"> </w:t>
      </w:r>
      <w:r w:rsidRPr="00CE0DD9">
        <w:rPr>
          <w:lang w:val="en-GB"/>
        </w:rPr>
        <w:t>‘They</w:t>
      </w:r>
      <w:r w:rsidRPr="00CE0DD9">
        <w:rPr>
          <w:spacing w:val="-6"/>
          <w:lang w:val="en-GB"/>
        </w:rPr>
        <w:t xml:space="preserve"> </w:t>
      </w:r>
      <w:r w:rsidRPr="00CE0DD9">
        <w:rPr>
          <w:lang w:val="en-GB"/>
        </w:rPr>
        <w:t>devoted themselves to the apostles’ teaching and fellowship, to the breaking of bread and the prayers.’</w:t>
      </w:r>
    </w:p>
    <w:p w14:paraId="559DE201" w14:textId="77777777" w:rsidR="00F21FF7" w:rsidRPr="00CE0DD9" w:rsidRDefault="00CE0DD9">
      <w:pPr>
        <w:pStyle w:val="BodyText"/>
        <w:spacing w:before="196" w:line="254" w:lineRule="auto"/>
        <w:ind w:left="828" w:right="13"/>
        <w:rPr>
          <w:lang w:val="en-GB"/>
        </w:rPr>
      </w:pPr>
      <w:r w:rsidRPr="00CE0DD9">
        <w:rPr>
          <w:lang w:val="en-GB"/>
        </w:rPr>
        <w:t>John Calvin maintained that any time the church came together to meet it should</w:t>
      </w:r>
      <w:r w:rsidRPr="00CE0DD9">
        <w:rPr>
          <w:spacing w:val="-8"/>
          <w:lang w:val="en-GB"/>
        </w:rPr>
        <w:t xml:space="preserve"> </w:t>
      </w:r>
      <w:r w:rsidRPr="00CE0DD9">
        <w:rPr>
          <w:lang w:val="en-GB"/>
        </w:rPr>
        <w:t>involve</w:t>
      </w:r>
      <w:r w:rsidRPr="00CE0DD9">
        <w:rPr>
          <w:spacing w:val="-8"/>
          <w:lang w:val="en-GB"/>
        </w:rPr>
        <w:t xml:space="preserve"> </w:t>
      </w:r>
      <w:r w:rsidRPr="00CE0DD9">
        <w:rPr>
          <w:lang w:val="en-GB"/>
        </w:rPr>
        <w:t>the</w:t>
      </w:r>
      <w:r w:rsidRPr="00CE0DD9">
        <w:rPr>
          <w:spacing w:val="-8"/>
          <w:lang w:val="en-GB"/>
        </w:rPr>
        <w:t xml:space="preserve"> </w:t>
      </w:r>
      <w:r w:rsidRPr="00CE0DD9">
        <w:rPr>
          <w:lang w:val="en-GB"/>
        </w:rPr>
        <w:t>reading</w:t>
      </w:r>
      <w:r w:rsidRPr="00CE0DD9">
        <w:rPr>
          <w:spacing w:val="-8"/>
          <w:lang w:val="en-GB"/>
        </w:rPr>
        <w:t xml:space="preserve"> </w:t>
      </w:r>
      <w:r w:rsidRPr="00CE0DD9">
        <w:rPr>
          <w:lang w:val="en-GB"/>
        </w:rPr>
        <w:t>of</w:t>
      </w:r>
      <w:r w:rsidRPr="00CE0DD9">
        <w:rPr>
          <w:spacing w:val="-8"/>
          <w:lang w:val="en-GB"/>
        </w:rPr>
        <w:t xml:space="preserve"> </w:t>
      </w:r>
      <w:r w:rsidRPr="00CE0DD9">
        <w:rPr>
          <w:lang w:val="en-GB"/>
        </w:rPr>
        <w:t>scripture, preaching and the celebration of the Lord’s Supper.</w:t>
      </w:r>
      <w:r w:rsidRPr="00CE0DD9">
        <w:rPr>
          <w:spacing w:val="-3"/>
          <w:lang w:val="en-GB"/>
        </w:rPr>
        <w:t xml:space="preserve"> </w:t>
      </w:r>
      <w:r w:rsidRPr="00CE0DD9">
        <w:rPr>
          <w:lang w:val="en-GB"/>
        </w:rPr>
        <w:t>This should be done at least every Sunday.</w:t>
      </w:r>
    </w:p>
    <w:p w14:paraId="559DE202" w14:textId="77777777" w:rsidR="00F21FF7" w:rsidRPr="00CE0DD9" w:rsidRDefault="00CE0DD9">
      <w:pPr>
        <w:pStyle w:val="BodyText"/>
        <w:spacing w:before="198" w:line="254" w:lineRule="auto"/>
        <w:ind w:left="828"/>
        <w:rPr>
          <w:lang w:val="en-GB"/>
        </w:rPr>
      </w:pPr>
      <w:r w:rsidRPr="00CE0DD9">
        <w:rPr>
          <w:lang w:val="en-GB"/>
        </w:rPr>
        <w:t>For</w:t>
      </w:r>
      <w:r w:rsidRPr="00CE0DD9">
        <w:rPr>
          <w:spacing w:val="-16"/>
          <w:lang w:val="en-GB"/>
        </w:rPr>
        <w:t xml:space="preserve"> </w:t>
      </w:r>
      <w:r w:rsidRPr="00CE0DD9">
        <w:rPr>
          <w:lang w:val="en-GB"/>
        </w:rPr>
        <w:t>reasons</w:t>
      </w:r>
      <w:r w:rsidRPr="00CE0DD9">
        <w:rPr>
          <w:spacing w:val="-16"/>
          <w:lang w:val="en-GB"/>
        </w:rPr>
        <w:t xml:space="preserve"> </w:t>
      </w:r>
      <w:r w:rsidRPr="00CE0DD9">
        <w:rPr>
          <w:lang w:val="en-GB"/>
        </w:rPr>
        <w:t>of</w:t>
      </w:r>
      <w:r w:rsidRPr="00CE0DD9">
        <w:rPr>
          <w:spacing w:val="-16"/>
          <w:lang w:val="en-GB"/>
        </w:rPr>
        <w:t xml:space="preserve"> </w:t>
      </w:r>
      <w:r w:rsidRPr="00CE0DD9">
        <w:rPr>
          <w:lang w:val="en-GB"/>
        </w:rPr>
        <w:t>history,</w:t>
      </w:r>
      <w:r w:rsidRPr="00CE0DD9">
        <w:rPr>
          <w:spacing w:val="-16"/>
          <w:lang w:val="en-GB"/>
        </w:rPr>
        <w:t xml:space="preserve"> </w:t>
      </w:r>
      <w:r w:rsidRPr="00CE0DD9">
        <w:rPr>
          <w:lang w:val="en-GB"/>
        </w:rPr>
        <w:t>the</w:t>
      </w:r>
      <w:r w:rsidRPr="00CE0DD9">
        <w:rPr>
          <w:spacing w:val="-16"/>
          <w:lang w:val="en-GB"/>
        </w:rPr>
        <w:t xml:space="preserve"> </w:t>
      </w:r>
      <w:r w:rsidRPr="00CE0DD9">
        <w:rPr>
          <w:lang w:val="en-GB"/>
        </w:rPr>
        <w:t>predecessor denominations</w:t>
      </w:r>
      <w:r w:rsidRPr="00CE0DD9">
        <w:rPr>
          <w:spacing w:val="-6"/>
          <w:lang w:val="en-GB"/>
        </w:rPr>
        <w:t xml:space="preserve"> </w:t>
      </w:r>
      <w:r w:rsidRPr="00CE0DD9">
        <w:rPr>
          <w:lang w:val="en-GB"/>
        </w:rPr>
        <w:t>of</w:t>
      </w:r>
      <w:r w:rsidRPr="00CE0DD9">
        <w:rPr>
          <w:spacing w:val="-6"/>
          <w:lang w:val="en-GB"/>
        </w:rPr>
        <w:t xml:space="preserve"> </w:t>
      </w:r>
      <w:r w:rsidRPr="00CE0DD9">
        <w:rPr>
          <w:lang w:val="en-GB"/>
        </w:rPr>
        <w:t>the</w:t>
      </w:r>
      <w:r w:rsidRPr="00CE0DD9">
        <w:rPr>
          <w:spacing w:val="-6"/>
          <w:lang w:val="en-GB"/>
        </w:rPr>
        <w:t xml:space="preserve"> </w:t>
      </w:r>
      <w:r w:rsidRPr="00CE0DD9">
        <w:rPr>
          <w:lang w:val="en-GB"/>
        </w:rPr>
        <w:t>United</w:t>
      </w:r>
      <w:r w:rsidRPr="00CE0DD9">
        <w:rPr>
          <w:spacing w:val="-6"/>
          <w:lang w:val="en-GB"/>
        </w:rPr>
        <w:t xml:space="preserve"> </w:t>
      </w:r>
      <w:r w:rsidRPr="00CE0DD9">
        <w:rPr>
          <w:lang w:val="en-GB"/>
        </w:rPr>
        <w:t>Reformed Church (except for the Churches of Christ)</w:t>
      </w:r>
      <w:r w:rsidRPr="00CE0DD9">
        <w:rPr>
          <w:spacing w:val="-9"/>
          <w:lang w:val="en-GB"/>
        </w:rPr>
        <w:t xml:space="preserve"> </w:t>
      </w:r>
      <w:r w:rsidRPr="00CE0DD9">
        <w:rPr>
          <w:lang w:val="en-GB"/>
        </w:rPr>
        <w:t>have</w:t>
      </w:r>
      <w:r w:rsidRPr="00CE0DD9">
        <w:rPr>
          <w:spacing w:val="-9"/>
          <w:lang w:val="en-GB"/>
        </w:rPr>
        <w:t xml:space="preserve"> </w:t>
      </w:r>
      <w:r w:rsidRPr="00CE0DD9">
        <w:rPr>
          <w:lang w:val="en-GB"/>
        </w:rPr>
        <w:t>never</w:t>
      </w:r>
      <w:r w:rsidRPr="00CE0DD9">
        <w:rPr>
          <w:spacing w:val="-9"/>
          <w:lang w:val="en-GB"/>
        </w:rPr>
        <w:t xml:space="preserve"> </w:t>
      </w:r>
      <w:r w:rsidRPr="00CE0DD9">
        <w:rPr>
          <w:lang w:val="en-GB"/>
        </w:rPr>
        <w:t>been,</w:t>
      </w:r>
      <w:r w:rsidRPr="00CE0DD9">
        <w:rPr>
          <w:spacing w:val="-9"/>
          <w:lang w:val="en-GB"/>
        </w:rPr>
        <w:t xml:space="preserve"> </w:t>
      </w:r>
      <w:r w:rsidRPr="00CE0DD9">
        <w:rPr>
          <w:lang w:val="en-GB"/>
        </w:rPr>
        <w:t>or</w:t>
      </w:r>
      <w:r w:rsidRPr="00CE0DD9">
        <w:rPr>
          <w:spacing w:val="-9"/>
          <w:lang w:val="en-GB"/>
        </w:rPr>
        <w:t xml:space="preserve"> </w:t>
      </w:r>
      <w:r w:rsidRPr="00CE0DD9">
        <w:rPr>
          <w:lang w:val="en-GB"/>
        </w:rPr>
        <w:t>felt,</w:t>
      </w:r>
      <w:r w:rsidRPr="00CE0DD9">
        <w:rPr>
          <w:spacing w:val="-9"/>
          <w:lang w:val="en-GB"/>
        </w:rPr>
        <w:t xml:space="preserve"> </w:t>
      </w:r>
      <w:r w:rsidRPr="00CE0DD9">
        <w:rPr>
          <w:lang w:val="en-GB"/>
        </w:rPr>
        <w:t>able</w:t>
      </w:r>
      <w:r w:rsidRPr="00CE0DD9">
        <w:rPr>
          <w:spacing w:val="-9"/>
          <w:lang w:val="en-GB"/>
        </w:rPr>
        <w:t xml:space="preserve"> </w:t>
      </w:r>
      <w:r w:rsidRPr="00CE0DD9">
        <w:rPr>
          <w:lang w:val="en-GB"/>
        </w:rPr>
        <w:t>to do this. However, they never lost sight of the centrality of the service of Word and Sacrament, and even when the Lord’s</w:t>
      </w:r>
      <w:r w:rsidRPr="00CE0DD9">
        <w:rPr>
          <w:spacing w:val="-10"/>
          <w:lang w:val="en-GB"/>
        </w:rPr>
        <w:t xml:space="preserve"> </w:t>
      </w:r>
      <w:r w:rsidRPr="00CE0DD9">
        <w:rPr>
          <w:lang w:val="en-GB"/>
        </w:rPr>
        <w:t>Supper</w:t>
      </w:r>
      <w:r w:rsidRPr="00CE0DD9">
        <w:rPr>
          <w:spacing w:val="-10"/>
          <w:lang w:val="en-GB"/>
        </w:rPr>
        <w:t xml:space="preserve"> </w:t>
      </w:r>
      <w:r w:rsidRPr="00CE0DD9">
        <w:rPr>
          <w:lang w:val="en-GB"/>
        </w:rPr>
        <w:t>has</w:t>
      </w:r>
      <w:r w:rsidRPr="00CE0DD9">
        <w:rPr>
          <w:spacing w:val="-10"/>
          <w:lang w:val="en-GB"/>
        </w:rPr>
        <w:t xml:space="preserve"> </w:t>
      </w:r>
      <w:r w:rsidRPr="00CE0DD9">
        <w:rPr>
          <w:lang w:val="en-GB"/>
        </w:rPr>
        <w:t>not</w:t>
      </w:r>
      <w:r w:rsidRPr="00CE0DD9">
        <w:rPr>
          <w:spacing w:val="-10"/>
          <w:lang w:val="en-GB"/>
        </w:rPr>
        <w:t xml:space="preserve"> </w:t>
      </w:r>
      <w:r w:rsidRPr="00CE0DD9">
        <w:rPr>
          <w:lang w:val="en-GB"/>
        </w:rPr>
        <w:t>been</w:t>
      </w:r>
      <w:r w:rsidRPr="00CE0DD9">
        <w:rPr>
          <w:spacing w:val="-10"/>
          <w:lang w:val="en-GB"/>
        </w:rPr>
        <w:t xml:space="preserve"> </w:t>
      </w:r>
      <w:proofErr w:type="gramStart"/>
      <w:r w:rsidRPr="00CE0DD9">
        <w:rPr>
          <w:lang w:val="en-GB"/>
        </w:rPr>
        <w:t>celebrated</w:t>
      </w:r>
      <w:proofErr w:type="gramEnd"/>
      <w:r w:rsidRPr="00CE0DD9">
        <w:rPr>
          <w:lang w:val="en-GB"/>
        </w:rPr>
        <w:t xml:space="preserve"> we</w:t>
      </w:r>
      <w:r w:rsidRPr="00CE0DD9">
        <w:rPr>
          <w:spacing w:val="-16"/>
          <w:lang w:val="en-GB"/>
        </w:rPr>
        <w:t xml:space="preserve"> </w:t>
      </w:r>
      <w:r w:rsidRPr="00CE0DD9">
        <w:rPr>
          <w:lang w:val="en-GB"/>
        </w:rPr>
        <w:t>still</w:t>
      </w:r>
      <w:r w:rsidRPr="00CE0DD9">
        <w:rPr>
          <w:spacing w:val="-16"/>
          <w:lang w:val="en-GB"/>
        </w:rPr>
        <w:t xml:space="preserve"> </w:t>
      </w:r>
      <w:r w:rsidRPr="00CE0DD9">
        <w:rPr>
          <w:lang w:val="en-GB"/>
        </w:rPr>
        <w:t>look</w:t>
      </w:r>
      <w:r w:rsidRPr="00CE0DD9">
        <w:rPr>
          <w:spacing w:val="-16"/>
          <w:lang w:val="en-GB"/>
        </w:rPr>
        <w:t xml:space="preserve"> </w:t>
      </w:r>
      <w:r w:rsidRPr="00CE0DD9">
        <w:rPr>
          <w:lang w:val="en-GB"/>
        </w:rPr>
        <w:t>to</w:t>
      </w:r>
      <w:r w:rsidRPr="00CE0DD9">
        <w:rPr>
          <w:spacing w:val="-16"/>
          <w:lang w:val="en-GB"/>
        </w:rPr>
        <w:t xml:space="preserve"> </w:t>
      </w:r>
      <w:r w:rsidRPr="00CE0DD9">
        <w:rPr>
          <w:lang w:val="en-GB"/>
        </w:rPr>
        <w:t>that</w:t>
      </w:r>
      <w:r w:rsidRPr="00CE0DD9">
        <w:rPr>
          <w:spacing w:val="-16"/>
          <w:lang w:val="en-GB"/>
        </w:rPr>
        <w:t xml:space="preserve"> </w:t>
      </w:r>
      <w:r w:rsidRPr="00CE0DD9">
        <w:rPr>
          <w:lang w:val="en-GB"/>
        </w:rPr>
        <w:t>service</w:t>
      </w:r>
      <w:r w:rsidRPr="00CE0DD9">
        <w:rPr>
          <w:spacing w:val="-16"/>
          <w:lang w:val="en-GB"/>
        </w:rPr>
        <w:t xml:space="preserve"> </w:t>
      </w:r>
      <w:r w:rsidRPr="00CE0DD9">
        <w:rPr>
          <w:lang w:val="en-GB"/>
        </w:rPr>
        <w:t>to</w:t>
      </w:r>
      <w:r w:rsidRPr="00CE0DD9">
        <w:rPr>
          <w:spacing w:val="-16"/>
          <w:lang w:val="en-GB"/>
        </w:rPr>
        <w:t xml:space="preserve"> </w:t>
      </w:r>
      <w:r w:rsidRPr="00CE0DD9">
        <w:rPr>
          <w:lang w:val="en-GB"/>
        </w:rPr>
        <w:t>provide</w:t>
      </w:r>
      <w:r w:rsidRPr="00CE0DD9">
        <w:rPr>
          <w:spacing w:val="-16"/>
          <w:lang w:val="en-GB"/>
        </w:rPr>
        <w:t xml:space="preserve"> </w:t>
      </w:r>
      <w:r w:rsidRPr="00CE0DD9">
        <w:rPr>
          <w:lang w:val="en-GB"/>
        </w:rPr>
        <w:t>us with an order for our worship of God.</w:t>
      </w:r>
    </w:p>
    <w:p w14:paraId="559DE203" w14:textId="77777777" w:rsidR="00F21FF7" w:rsidRPr="00CE0DD9" w:rsidRDefault="00CE0DD9">
      <w:pPr>
        <w:pStyle w:val="BodyText"/>
        <w:spacing w:before="196" w:line="254" w:lineRule="auto"/>
        <w:ind w:left="828" w:right="13"/>
        <w:rPr>
          <w:lang w:val="en-GB"/>
        </w:rPr>
      </w:pPr>
      <w:r w:rsidRPr="00CE0DD9">
        <w:rPr>
          <w:lang w:val="en-GB"/>
        </w:rPr>
        <w:t>The first two services have been written especially for this book, and both</w:t>
      </w:r>
      <w:r w:rsidRPr="00CE0DD9">
        <w:rPr>
          <w:spacing w:val="-7"/>
          <w:lang w:val="en-GB"/>
        </w:rPr>
        <w:t xml:space="preserve"> </w:t>
      </w:r>
      <w:r w:rsidRPr="00CE0DD9">
        <w:rPr>
          <w:lang w:val="en-GB"/>
        </w:rPr>
        <w:t>contain</w:t>
      </w:r>
      <w:r w:rsidRPr="00CE0DD9">
        <w:rPr>
          <w:spacing w:val="-7"/>
          <w:lang w:val="en-GB"/>
        </w:rPr>
        <w:t xml:space="preserve"> </w:t>
      </w:r>
      <w:r w:rsidRPr="00CE0DD9">
        <w:rPr>
          <w:lang w:val="en-GB"/>
        </w:rPr>
        <w:t>a</w:t>
      </w:r>
      <w:r w:rsidRPr="00CE0DD9">
        <w:rPr>
          <w:spacing w:val="-7"/>
          <w:lang w:val="en-GB"/>
        </w:rPr>
        <w:t xml:space="preserve"> </w:t>
      </w:r>
      <w:r w:rsidRPr="00CE0DD9">
        <w:rPr>
          <w:lang w:val="en-GB"/>
        </w:rPr>
        <w:t>wealth</w:t>
      </w:r>
      <w:r w:rsidRPr="00CE0DD9">
        <w:rPr>
          <w:spacing w:val="-7"/>
          <w:lang w:val="en-GB"/>
        </w:rPr>
        <w:t xml:space="preserve"> </w:t>
      </w:r>
      <w:r w:rsidRPr="00CE0DD9">
        <w:rPr>
          <w:lang w:val="en-GB"/>
        </w:rPr>
        <w:t>of</w:t>
      </w:r>
      <w:r w:rsidRPr="00CE0DD9">
        <w:rPr>
          <w:spacing w:val="-7"/>
          <w:lang w:val="en-GB"/>
        </w:rPr>
        <w:t xml:space="preserve"> </w:t>
      </w:r>
      <w:r w:rsidRPr="00CE0DD9">
        <w:rPr>
          <w:lang w:val="en-GB"/>
        </w:rPr>
        <w:t>new</w:t>
      </w:r>
      <w:r w:rsidRPr="00CE0DD9">
        <w:rPr>
          <w:spacing w:val="-7"/>
          <w:lang w:val="en-GB"/>
        </w:rPr>
        <w:t xml:space="preserve"> </w:t>
      </w:r>
      <w:r w:rsidRPr="00CE0DD9">
        <w:rPr>
          <w:lang w:val="en-GB"/>
        </w:rPr>
        <w:t>material. The first order of Holy Communion provides a full order of worship for</w:t>
      </w:r>
    </w:p>
    <w:p w14:paraId="559DE204" w14:textId="77777777" w:rsidR="00F21FF7" w:rsidRPr="00CE0DD9" w:rsidRDefault="00CE0DD9">
      <w:pPr>
        <w:pStyle w:val="BodyText"/>
        <w:spacing w:line="254" w:lineRule="auto"/>
        <w:ind w:left="828" w:right="161"/>
        <w:rPr>
          <w:lang w:val="en-GB"/>
        </w:rPr>
      </w:pPr>
      <w:r w:rsidRPr="00CE0DD9">
        <w:rPr>
          <w:lang w:val="en-GB"/>
        </w:rPr>
        <w:t>a service of Word and Sacrament with</w:t>
      </w:r>
      <w:r w:rsidRPr="00CE0DD9">
        <w:rPr>
          <w:spacing w:val="-6"/>
          <w:lang w:val="en-GB"/>
        </w:rPr>
        <w:t xml:space="preserve"> </w:t>
      </w:r>
      <w:r w:rsidRPr="00CE0DD9">
        <w:rPr>
          <w:lang w:val="en-GB"/>
        </w:rPr>
        <w:t>the</w:t>
      </w:r>
      <w:r w:rsidRPr="00CE0DD9">
        <w:rPr>
          <w:spacing w:val="-6"/>
          <w:lang w:val="en-GB"/>
        </w:rPr>
        <w:t xml:space="preserve"> </w:t>
      </w:r>
      <w:r w:rsidRPr="00CE0DD9">
        <w:rPr>
          <w:lang w:val="en-GB"/>
        </w:rPr>
        <w:t>use</w:t>
      </w:r>
      <w:r w:rsidRPr="00CE0DD9">
        <w:rPr>
          <w:spacing w:val="-6"/>
          <w:lang w:val="en-GB"/>
        </w:rPr>
        <w:t xml:space="preserve"> </w:t>
      </w:r>
      <w:r w:rsidRPr="00CE0DD9">
        <w:rPr>
          <w:lang w:val="en-GB"/>
        </w:rPr>
        <w:t>of</w:t>
      </w:r>
      <w:r w:rsidRPr="00CE0DD9">
        <w:rPr>
          <w:spacing w:val="-6"/>
          <w:lang w:val="en-GB"/>
        </w:rPr>
        <w:t xml:space="preserve"> </w:t>
      </w:r>
      <w:r w:rsidRPr="00CE0DD9">
        <w:rPr>
          <w:lang w:val="en-GB"/>
        </w:rPr>
        <w:t>many</w:t>
      </w:r>
      <w:r w:rsidRPr="00CE0DD9">
        <w:rPr>
          <w:spacing w:val="-6"/>
          <w:lang w:val="en-GB"/>
        </w:rPr>
        <w:t xml:space="preserve"> </w:t>
      </w:r>
      <w:r w:rsidRPr="00CE0DD9">
        <w:rPr>
          <w:lang w:val="en-GB"/>
        </w:rPr>
        <w:t>of</w:t>
      </w:r>
      <w:r w:rsidRPr="00CE0DD9">
        <w:rPr>
          <w:spacing w:val="-6"/>
          <w:lang w:val="en-GB"/>
        </w:rPr>
        <w:t xml:space="preserve"> </w:t>
      </w:r>
      <w:r w:rsidRPr="00CE0DD9">
        <w:rPr>
          <w:lang w:val="en-GB"/>
        </w:rPr>
        <w:t>the</w:t>
      </w:r>
      <w:r w:rsidRPr="00CE0DD9">
        <w:rPr>
          <w:spacing w:val="-6"/>
          <w:lang w:val="en-GB"/>
        </w:rPr>
        <w:t xml:space="preserve"> </w:t>
      </w:r>
      <w:r w:rsidRPr="00CE0DD9">
        <w:rPr>
          <w:lang w:val="en-GB"/>
        </w:rPr>
        <w:t xml:space="preserve">liturgical items found in </w:t>
      </w:r>
      <w:r w:rsidRPr="00CE0DD9">
        <w:rPr>
          <w:i/>
          <w:lang w:val="en-GB"/>
        </w:rPr>
        <w:t>Rejoice and Sing</w:t>
      </w:r>
      <w:r w:rsidRPr="00CE0DD9">
        <w:rPr>
          <w:lang w:val="en-GB"/>
        </w:rPr>
        <w:t>.</w:t>
      </w:r>
    </w:p>
    <w:p w14:paraId="559DE205" w14:textId="77777777" w:rsidR="00F21FF7" w:rsidRPr="00CE0DD9" w:rsidRDefault="00CE0DD9">
      <w:pPr>
        <w:pStyle w:val="BodyText"/>
        <w:spacing w:line="254" w:lineRule="auto"/>
        <w:ind w:left="828" w:right="33"/>
        <w:rPr>
          <w:lang w:val="en-GB"/>
        </w:rPr>
      </w:pPr>
      <w:r w:rsidRPr="00CE0DD9">
        <w:rPr>
          <w:lang w:val="en-GB"/>
        </w:rPr>
        <w:t>The language draws on a very rich range of biblical imagery, especially from the Old Testament. Within the service the narrative of the institution (1</w:t>
      </w:r>
      <w:r w:rsidRPr="00CE0DD9">
        <w:rPr>
          <w:spacing w:val="-11"/>
          <w:lang w:val="en-GB"/>
        </w:rPr>
        <w:t xml:space="preserve"> </w:t>
      </w:r>
      <w:r w:rsidRPr="00CE0DD9">
        <w:rPr>
          <w:lang w:val="en-GB"/>
        </w:rPr>
        <w:t>Corinthians</w:t>
      </w:r>
      <w:r w:rsidRPr="00CE0DD9">
        <w:rPr>
          <w:spacing w:val="-11"/>
          <w:lang w:val="en-GB"/>
        </w:rPr>
        <w:t xml:space="preserve"> </w:t>
      </w:r>
      <w:r w:rsidRPr="00CE0DD9">
        <w:rPr>
          <w:lang w:val="en-GB"/>
        </w:rPr>
        <w:t>11:23-26)</w:t>
      </w:r>
      <w:r w:rsidRPr="00CE0DD9">
        <w:rPr>
          <w:spacing w:val="-11"/>
          <w:lang w:val="en-GB"/>
        </w:rPr>
        <w:t xml:space="preserve"> </w:t>
      </w:r>
      <w:r w:rsidRPr="00CE0DD9">
        <w:rPr>
          <w:lang w:val="en-GB"/>
        </w:rPr>
        <w:t>may</w:t>
      </w:r>
      <w:r w:rsidRPr="00CE0DD9">
        <w:rPr>
          <w:spacing w:val="-11"/>
          <w:lang w:val="en-GB"/>
        </w:rPr>
        <w:t xml:space="preserve"> </w:t>
      </w:r>
      <w:r w:rsidRPr="00CE0DD9">
        <w:rPr>
          <w:lang w:val="en-GB"/>
        </w:rPr>
        <w:t>be</w:t>
      </w:r>
      <w:r w:rsidRPr="00CE0DD9">
        <w:rPr>
          <w:spacing w:val="-11"/>
          <w:lang w:val="en-GB"/>
        </w:rPr>
        <w:t xml:space="preserve"> </w:t>
      </w:r>
      <w:r w:rsidRPr="00CE0DD9">
        <w:rPr>
          <w:lang w:val="en-GB"/>
        </w:rPr>
        <w:t>used as a warrant before the thanksgiving prayer or included within it. While</w:t>
      </w:r>
    </w:p>
    <w:p w14:paraId="559DE206" w14:textId="77777777" w:rsidR="00F21FF7" w:rsidRPr="00CE0DD9" w:rsidRDefault="00CE0DD9">
      <w:pPr>
        <w:pStyle w:val="BodyText"/>
        <w:spacing w:line="254" w:lineRule="auto"/>
        <w:ind w:left="828" w:right="13"/>
        <w:rPr>
          <w:lang w:val="en-GB"/>
        </w:rPr>
      </w:pPr>
      <w:r w:rsidRPr="00CE0DD9">
        <w:rPr>
          <w:lang w:val="en-GB"/>
        </w:rPr>
        <w:t>the</w:t>
      </w:r>
      <w:r w:rsidRPr="00CE0DD9">
        <w:rPr>
          <w:spacing w:val="-10"/>
          <w:lang w:val="en-GB"/>
        </w:rPr>
        <w:t xml:space="preserve"> </w:t>
      </w:r>
      <w:r w:rsidRPr="00CE0DD9">
        <w:rPr>
          <w:lang w:val="en-GB"/>
        </w:rPr>
        <w:t>former</w:t>
      </w:r>
      <w:r w:rsidRPr="00CE0DD9">
        <w:rPr>
          <w:spacing w:val="-10"/>
          <w:lang w:val="en-GB"/>
        </w:rPr>
        <w:t xml:space="preserve"> </w:t>
      </w:r>
      <w:r w:rsidRPr="00CE0DD9">
        <w:rPr>
          <w:lang w:val="en-GB"/>
        </w:rPr>
        <w:t>position</w:t>
      </w:r>
      <w:r w:rsidRPr="00CE0DD9">
        <w:rPr>
          <w:spacing w:val="-10"/>
          <w:lang w:val="en-GB"/>
        </w:rPr>
        <w:t xml:space="preserve"> </w:t>
      </w:r>
      <w:r w:rsidRPr="00CE0DD9">
        <w:rPr>
          <w:lang w:val="en-GB"/>
        </w:rPr>
        <w:t>is</w:t>
      </w:r>
      <w:r w:rsidRPr="00CE0DD9">
        <w:rPr>
          <w:spacing w:val="-10"/>
          <w:lang w:val="en-GB"/>
        </w:rPr>
        <w:t xml:space="preserve"> </w:t>
      </w:r>
      <w:r w:rsidRPr="00CE0DD9">
        <w:rPr>
          <w:lang w:val="en-GB"/>
        </w:rPr>
        <w:t>traditionally Reformed, both practices are ecumenically acceptable.</w:t>
      </w:r>
    </w:p>
    <w:p w14:paraId="559DE207" w14:textId="77777777" w:rsidR="00F21FF7" w:rsidRPr="00CE0DD9" w:rsidRDefault="00CE0DD9">
      <w:pPr>
        <w:pStyle w:val="BodyText"/>
        <w:spacing w:before="192" w:line="254" w:lineRule="auto"/>
        <w:ind w:left="828"/>
        <w:jc w:val="both"/>
        <w:rPr>
          <w:lang w:val="en-GB"/>
        </w:rPr>
      </w:pPr>
      <w:proofErr w:type="gramStart"/>
      <w:r w:rsidRPr="00CE0DD9">
        <w:rPr>
          <w:lang w:val="en-GB"/>
        </w:rPr>
        <w:t>A</w:t>
      </w:r>
      <w:r w:rsidRPr="00CE0DD9">
        <w:rPr>
          <w:spacing w:val="-16"/>
          <w:lang w:val="en-GB"/>
        </w:rPr>
        <w:t xml:space="preserve"> </w:t>
      </w:r>
      <w:r w:rsidRPr="00CE0DD9">
        <w:rPr>
          <w:lang w:val="en-GB"/>
        </w:rPr>
        <w:t>greater</w:t>
      </w:r>
      <w:r w:rsidRPr="00CE0DD9">
        <w:rPr>
          <w:spacing w:val="-10"/>
          <w:lang w:val="en-GB"/>
        </w:rPr>
        <w:t xml:space="preserve"> </w:t>
      </w:r>
      <w:r w:rsidRPr="00CE0DD9">
        <w:rPr>
          <w:lang w:val="en-GB"/>
        </w:rPr>
        <w:t>degree</w:t>
      </w:r>
      <w:r w:rsidRPr="00CE0DD9">
        <w:rPr>
          <w:spacing w:val="-7"/>
          <w:lang w:val="en-GB"/>
        </w:rPr>
        <w:t xml:space="preserve"> </w:t>
      </w:r>
      <w:r w:rsidRPr="00CE0DD9">
        <w:rPr>
          <w:lang w:val="en-GB"/>
        </w:rPr>
        <w:t>of</w:t>
      </w:r>
      <w:proofErr w:type="gramEnd"/>
      <w:r w:rsidRPr="00CE0DD9">
        <w:rPr>
          <w:spacing w:val="-7"/>
          <w:lang w:val="en-GB"/>
        </w:rPr>
        <w:t xml:space="preserve"> </w:t>
      </w:r>
      <w:r w:rsidRPr="00CE0DD9">
        <w:rPr>
          <w:lang w:val="en-GB"/>
        </w:rPr>
        <w:t>participation</w:t>
      </w:r>
      <w:r w:rsidRPr="00CE0DD9">
        <w:rPr>
          <w:spacing w:val="-7"/>
          <w:lang w:val="en-GB"/>
        </w:rPr>
        <w:t xml:space="preserve"> </w:t>
      </w:r>
      <w:r w:rsidRPr="00CE0DD9">
        <w:rPr>
          <w:lang w:val="en-GB"/>
        </w:rPr>
        <w:t>by</w:t>
      </w:r>
      <w:r w:rsidRPr="00CE0DD9">
        <w:rPr>
          <w:spacing w:val="-7"/>
          <w:lang w:val="en-GB"/>
        </w:rPr>
        <w:t xml:space="preserve"> </w:t>
      </w:r>
      <w:r w:rsidRPr="00CE0DD9">
        <w:rPr>
          <w:lang w:val="en-GB"/>
        </w:rPr>
        <w:t>the congregation</w:t>
      </w:r>
      <w:r w:rsidRPr="00CE0DD9">
        <w:rPr>
          <w:spacing w:val="-3"/>
          <w:lang w:val="en-GB"/>
        </w:rPr>
        <w:t xml:space="preserve"> </w:t>
      </w:r>
      <w:r w:rsidRPr="00CE0DD9">
        <w:rPr>
          <w:lang w:val="en-GB"/>
        </w:rPr>
        <w:t>is</w:t>
      </w:r>
      <w:r w:rsidRPr="00CE0DD9">
        <w:rPr>
          <w:spacing w:val="-3"/>
          <w:lang w:val="en-GB"/>
        </w:rPr>
        <w:t xml:space="preserve"> </w:t>
      </w:r>
      <w:r w:rsidRPr="00CE0DD9">
        <w:rPr>
          <w:lang w:val="en-GB"/>
        </w:rPr>
        <w:t>allowed</w:t>
      </w:r>
      <w:r w:rsidRPr="00CE0DD9">
        <w:rPr>
          <w:spacing w:val="-3"/>
          <w:lang w:val="en-GB"/>
        </w:rPr>
        <w:t xml:space="preserve"> </w:t>
      </w:r>
      <w:r w:rsidRPr="00CE0DD9">
        <w:rPr>
          <w:lang w:val="en-GB"/>
        </w:rPr>
        <w:t>for,</w:t>
      </w:r>
      <w:r w:rsidRPr="00CE0DD9">
        <w:rPr>
          <w:spacing w:val="-3"/>
          <w:lang w:val="en-GB"/>
        </w:rPr>
        <w:t xml:space="preserve"> </w:t>
      </w:r>
      <w:r w:rsidRPr="00CE0DD9">
        <w:rPr>
          <w:lang w:val="en-GB"/>
        </w:rPr>
        <w:t>both</w:t>
      </w:r>
      <w:r w:rsidRPr="00CE0DD9">
        <w:rPr>
          <w:spacing w:val="-3"/>
          <w:lang w:val="en-GB"/>
        </w:rPr>
        <w:t xml:space="preserve"> </w:t>
      </w:r>
      <w:r w:rsidRPr="00CE0DD9">
        <w:rPr>
          <w:lang w:val="en-GB"/>
        </w:rPr>
        <w:t>in</w:t>
      </w:r>
      <w:r w:rsidRPr="00CE0DD9">
        <w:rPr>
          <w:spacing w:val="-3"/>
          <w:lang w:val="en-GB"/>
        </w:rPr>
        <w:t xml:space="preserve"> </w:t>
      </w:r>
      <w:r w:rsidRPr="00CE0DD9">
        <w:rPr>
          <w:lang w:val="en-GB"/>
        </w:rPr>
        <w:t>the responses and in physical movement.</w:t>
      </w:r>
    </w:p>
    <w:p w14:paraId="559DE208" w14:textId="77777777" w:rsidR="00F21FF7" w:rsidRPr="00CE0DD9" w:rsidRDefault="00CE0DD9">
      <w:pPr>
        <w:pStyle w:val="BodyText"/>
        <w:spacing w:before="92" w:line="254" w:lineRule="auto"/>
        <w:ind w:right="466"/>
        <w:rPr>
          <w:lang w:val="en-GB"/>
        </w:rPr>
      </w:pPr>
      <w:r w:rsidRPr="00CE0DD9">
        <w:rPr>
          <w:lang w:val="en-GB"/>
        </w:rPr>
        <w:br w:type="column"/>
      </w:r>
      <w:r w:rsidRPr="00CE0DD9">
        <w:rPr>
          <w:lang w:val="en-GB"/>
        </w:rPr>
        <w:t>The service may either be used as it</w:t>
      </w:r>
      <w:r w:rsidRPr="00CE0DD9">
        <w:rPr>
          <w:spacing w:val="37"/>
          <w:lang w:val="en-GB"/>
        </w:rPr>
        <w:t xml:space="preserve"> </w:t>
      </w:r>
      <w:proofErr w:type="gramStart"/>
      <w:r w:rsidRPr="00CE0DD9">
        <w:rPr>
          <w:lang w:val="en-GB"/>
        </w:rPr>
        <w:t>stands</w:t>
      </w:r>
      <w:proofErr w:type="gramEnd"/>
      <w:r w:rsidRPr="00CE0DD9">
        <w:rPr>
          <w:spacing w:val="37"/>
          <w:lang w:val="en-GB"/>
        </w:rPr>
        <w:t xml:space="preserve"> </w:t>
      </w:r>
      <w:r w:rsidRPr="00CE0DD9">
        <w:rPr>
          <w:lang w:val="en-GB"/>
        </w:rPr>
        <w:t>or</w:t>
      </w:r>
      <w:r w:rsidRPr="00CE0DD9">
        <w:rPr>
          <w:spacing w:val="37"/>
          <w:lang w:val="en-GB"/>
        </w:rPr>
        <w:t xml:space="preserve"> </w:t>
      </w:r>
      <w:r w:rsidRPr="00CE0DD9">
        <w:rPr>
          <w:lang w:val="en-GB"/>
        </w:rPr>
        <w:t>it</w:t>
      </w:r>
      <w:r w:rsidRPr="00CE0DD9">
        <w:rPr>
          <w:spacing w:val="37"/>
          <w:lang w:val="en-GB"/>
        </w:rPr>
        <w:t xml:space="preserve"> </w:t>
      </w:r>
      <w:r w:rsidRPr="00CE0DD9">
        <w:rPr>
          <w:lang w:val="en-GB"/>
        </w:rPr>
        <w:t>may</w:t>
      </w:r>
      <w:r w:rsidRPr="00CE0DD9">
        <w:rPr>
          <w:spacing w:val="37"/>
          <w:lang w:val="en-GB"/>
        </w:rPr>
        <w:t xml:space="preserve"> </w:t>
      </w:r>
      <w:r w:rsidRPr="00CE0DD9">
        <w:rPr>
          <w:lang w:val="en-GB"/>
        </w:rPr>
        <w:t>be</w:t>
      </w:r>
      <w:r w:rsidRPr="00CE0DD9">
        <w:rPr>
          <w:spacing w:val="37"/>
          <w:lang w:val="en-GB"/>
        </w:rPr>
        <w:t xml:space="preserve"> </w:t>
      </w:r>
      <w:r w:rsidRPr="00CE0DD9">
        <w:rPr>
          <w:lang w:val="en-GB"/>
        </w:rPr>
        <w:t>shortened by the omission of some of the suggested items.</w:t>
      </w:r>
    </w:p>
    <w:p w14:paraId="559DE209" w14:textId="77777777" w:rsidR="00F21FF7" w:rsidRPr="00CE0DD9" w:rsidRDefault="00CE0DD9">
      <w:pPr>
        <w:pStyle w:val="BodyText"/>
        <w:spacing w:before="199" w:line="254" w:lineRule="auto"/>
        <w:ind w:right="195"/>
        <w:rPr>
          <w:lang w:val="en-GB"/>
        </w:rPr>
      </w:pPr>
      <w:r w:rsidRPr="00CE0DD9">
        <w:rPr>
          <w:lang w:val="en-GB"/>
        </w:rPr>
        <w:t>The</w:t>
      </w:r>
      <w:r w:rsidRPr="00CE0DD9">
        <w:rPr>
          <w:spacing w:val="-5"/>
          <w:lang w:val="en-GB"/>
        </w:rPr>
        <w:t xml:space="preserve"> </w:t>
      </w:r>
      <w:r w:rsidRPr="00CE0DD9">
        <w:rPr>
          <w:lang w:val="en-GB"/>
        </w:rPr>
        <w:t>second</w:t>
      </w:r>
      <w:r w:rsidRPr="00CE0DD9">
        <w:rPr>
          <w:spacing w:val="-5"/>
          <w:lang w:val="en-GB"/>
        </w:rPr>
        <w:t xml:space="preserve"> </w:t>
      </w:r>
      <w:r w:rsidRPr="00CE0DD9">
        <w:rPr>
          <w:lang w:val="en-GB"/>
        </w:rPr>
        <w:t>order</w:t>
      </w:r>
      <w:r w:rsidRPr="00CE0DD9">
        <w:rPr>
          <w:spacing w:val="-5"/>
          <w:lang w:val="en-GB"/>
        </w:rPr>
        <w:t xml:space="preserve"> </w:t>
      </w:r>
      <w:r w:rsidRPr="00CE0DD9">
        <w:rPr>
          <w:lang w:val="en-GB"/>
        </w:rPr>
        <w:t>of</w:t>
      </w:r>
      <w:r w:rsidRPr="00CE0DD9">
        <w:rPr>
          <w:spacing w:val="-5"/>
          <w:lang w:val="en-GB"/>
        </w:rPr>
        <w:t xml:space="preserve"> </w:t>
      </w:r>
      <w:r w:rsidRPr="00CE0DD9">
        <w:rPr>
          <w:lang w:val="en-GB"/>
        </w:rPr>
        <w:t>Holy</w:t>
      </w:r>
      <w:r w:rsidRPr="00CE0DD9">
        <w:rPr>
          <w:spacing w:val="-5"/>
          <w:lang w:val="en-GB"/>
        </w:rPr>
        <w:t xml:space="preserve"> </w:t>
      </w:r>
      <w:r w:rsidRPr="00CE0DD9">
        <w:rPr>
          <w:lang w:val="en-GB"/>
        </w:rPr>
        <w:t>Communion is one that is especially suitable when there is a broader range of ages present in the congregation and a</w:t>
      </w:r>
      <w:r w:rsidRPr="00CE0DD9">
        <w:rPr>
          <w:spacing w:val="80"/>
          <w:lang w:val="en-GB"/>
        </w:rPr>
        <w:t xml:space="preserve"> </w:t>
      </w:r>
      <w:r w:rsidRPr="00CE0DD9">
        <w:rPr>
          <w:lang w:val="en-GB"/>
        </w:rPr>
        <w:t>less formal service is desired. The language is simpler and more direct, and</w:t>
      </w:r>
      <w:r w:rsidRPr="00CE0DD9">
        <w:rPr>
          <w:spacing w:val="-10"/>
          <w:lang w:val="en-GB"/>
        </w:rPr>
        <w:t xml:space="preserve"> </w:t>
      </w:r>
      <w:r w:rsidRPr="00CE0DD9">
        <w:rPr>
          <w:lang w:val="en-GB"/>
        </w:rPr>
        <w:t>the</w:t>
      </w:r>
      <w:r w:rsidRPr="00CE0DD9">
        <w:rPr>
          <w:spacing w:val="-10"/>
          <w:lang w:val="en-GB"/>
        </w:rPr>
        <w:t xml:space="preserve"> </w:t>
      </w:r>
      <w:r w:rsidRPr="00CE0DD9">
        <w:rPr>
          <w:lang w:val="en-GB"/>
        </w:rPr>
        <w:t>congregational</w:t>
      </w:r>
      <w:r w:rsidRPr="00CE0DD9">
        <w:rPr>
          <w:spacing w:val="-10"/>
          <w:lang w:val="en-GB"/>
        </w:rPr>
        <w:t xml:space="preserve"> </w:t>
      </w:r>
      <w:r w:rsidRPr="00CE0DD9">
        <w:rPr>
          <w:lang w:val="en-GB"/>
        </w:rPr>
        <w:t>responses</w:t>
      </w:r>
      <w:r w:rsidRPr="00CE0DD9">
        <w:rPr>
          <w:spacing w:val="-10"/>
          <w:lang w:val="en-GB"/>
        </w:rPr>
        <w:t xml:space="preserve"> </w:t>
      </w:r>
      <w:r w:rsidRPr="00CE0DD9">
        <w:rPr>
          <w:lang w:val="en-GB"/>
        </w:rPr>
        <w:t>can be made by the repetition of phrases.</w:t>
      </w:r>
    </w:p>
    <w:p w14:paraId="559DE20A" w14:textId="77777777" w:rsidR="00F21FF7" w:rsidRPr="00CE0DD9" w:rsidRDefault="00CE0DD9">
      <w:pPr>
        <w:pStyle w:val="BodyText"/>
        <w:spacing w:before="196" w:line="254" w:lineRule="auto"/>
        <w:ind w:right="318"/>
        <w:rPr>
          <w:lang w:val="en-GB"/>
        </w:rPr>
      </w:pPr>
      <w:r w:rsidRPr="00CE0DD9">
        <w:rPr>
          <w:lang w:val="en-GB"/>
        </w:rPr>
        <w:t xml:space="preserve">The third order of Holy Communion is taken from the 1989 </w:t>
      </w:r>
      <w:r w:rsidRPr="00CE0DD9">
        <w:rPr>
          <w:i/>
          <w:lang w:val="en-GB"/>
        </w:rPr>
        <w:t xml:space="preserve">Service Book </w:t>
      </w:r>
      <w:r w:rsidRPr="00CE0DD9">
        <w:rPr>
          <w:lang w:val="en-GB"/>
        </w:rPr>
        <w:t>and continues the liturgical heritage of the Churches of Christ in our midst. The most noticeable variation from the other services is the way</w:t>
      </w:r>
    </w:p>
    <w:p w14:paraId="559DE20B" w14:textId="77777777" w:rsidR="00F21FF7" w:rsidRPr="00CE0DD9" w:rsidRDefault="00CE0DD9">
      <w:pPr>
        <w:pStyle w:val="BodyText"/>
        <w:spacing w:line="254" w:lineRule="auto"/>
        <w:ind w:right="245"/>
        <w:rPr>
          <w:lang w:val="en-GB"/>
        </w:rPr>
      </w:pPr>
      <w:r w:rsidRPr="00CE0DD9">
        <w:rPr>
          <w:lang w:val="en-GB"/>
        </w:rPr>
        <w:t xml:space="preserve">in which the thanksgiving may be divided so that thanks </w:t>
      </w:r>
      <w:proofErr w:type="gramStart"/>
      <w:r w:rsidRPr="00CE0DD9">
        <w:rPr>
          <w:lang w:val="en-GB"/>
        </w:rPr>
        <w:t>is</w:t>
      </w:r>
      <w:proofErr w:type="gramEnd"/>
      <w:r w:rsidRPr="00CE0DD9">
        <w:rPr>
          <w:lang w:val="en-GB"/>
        </w:rPr>
        <w:t xml:space="preserve"> given over the bread and it is shared, and then</w:t>
      </w:r>
      <w:r w:rsidRPr="00CE0DD9">
        <w:rPr>
          <w:spacing w:val="80"/>
          <w:lang w:val="en-GB"/>
        </w:rPr>
        <w:t xml:space="preserve"> </w:t>
      </w:r>
      <w:r w:rsidRPr="00CE0DD9">
        <w:rPr>
          <w:lang w:val="en-GB"/>
        </w:rPr>
        <w:t>a thanksgiving over the wine before</w:t>
      </w:r>
      <w:r w:rsidRPr="00CE0DD9">
        <w:rPr>
          <w:spacing w:val="80"/>
          <w:lang w:val="en-GB"/>
        </w:rPr>
        <w:t xml:space="preserve"> </w:t>
      </w:r>
      <w:r w:rsidRPr="00CE0DD9">
        <w:rPr>
          <w:lang w:val="en-GB"/>
        </w:rPr>
        <w:t>it is shared. This reflects the early tradition according to which, at the Last Supper, Jesus said separate prayers</w:t>
      </w:r>
      <w:r w:rsidRPr="00CE0DD9">
        <w:rPr>
          <w:spacing w:val="8"/>
          <w:lang w:val="en-GB"/>
        </w:rPr>
        <w:t xml:space="preserve"> </w:t>
      </w:r>
      <w:r w:rsidRPr="00CE0DD9">
        <w:rPr>
          <w:lang w:val="en-GB"/>
        </w:rPr>
        <w:t>over</w:t>
      </w:r>
      <w:r w:rsidRPr="00CE0DD9">
        <w:rPr>
          <w:spacing w:val="10"/>
          <w:lang w:val="en-GB"/>
        </w:rPr>
        <w:t xml:space="preserve"> </w:t>
      </w:r>
      <w:r w:rsidRPr="00CE0DD9">
        <w:rPr>
          <w:lang w:val="en-GB"/>
        </w:rPr>
        <w:t>the</w:t>
      </w:r>
      <w:r w:rsidRPr="00CE0DD9">
        <w:rPr>
          <w:spacing w:val="11"/>
          <w:lang w:val="en-GB"/>
        </w:rPr>
        <w:t xml:space="preserve"> </w:t>
      </w:r>
      <w:r w:rsidRPr="00CE0DD9">
        <w:rPr>
          <w:lang w:val="en-GB"/>
        </w:rPr>
        <w:t>bread</w:t>
      </w:r>
      <w:r w:rsidRPr="00CE0DD9">
        <w:rPr>
          <w:spacing w:val="10"/>
          <w:lang w:val="en-GB"/>
        </w:rPr>
        <w:t xml:space="preserve"> </w:t>
      </w:r>
      <w:r w:rsidRPr="00CE0DD9">
        <w:rPr>
          <w:lang w:val="en-GB"/>
        </w:rPr>
        <w:t>and</w:t>
      </w:r>
      <w:r w:rsidRPr="00CE0DD9">
        <w:rPr>
          <w:spacing w:val="10"/>
          <w:lang w:val="en-GB"/>
        </w:rPr>
        <w:t xml:space="preserve"> </w:t>
      </w:r>
      <w:r w:rsidRPr="00CE0DD9">
        <w:rPr>
          <w:lang w:val="en-GB"/>
        </w:rPr>
        <w:t>the</w:t>
      </w:r>
      <w:r w:rsidRPr="00CE0DD9">
        <w:rPr>
          <w:spacing w:val="11"/>
          <w:lang w:val="en-GB"/>
        </w:rPr>
        <w:t xml:space="preserve"> </w:t>
      </w:r>
      <w:r w:rsidRPr="00CE0DD9">
        <w:rPr>
          <w:spacing w:val="-2"/>
          <w:lang w:val="en-GB"/>
        </w:rPr>
        <w:t>wine.</w:t>
      </w:r>
    </w:p>
    <w:p w14:paraId="559DE20C" w14:textId="77777777" w:rsidR="00F21FF7" w:rsidRPr="00CE0DD9" w:rsidRDefault="00CE0DD9">
      <w:pPr>
        <w:pStyle w:val="BodyText"/>
        <w:spacing w:before="194" w:line="254" w:lineRule="auto"/>
        <w:ind w:right="221"/>
        <w:rPr>
          <w:lang w:val="en-GB"/>
        </w:rPr>
      </w:pPr>
      <w:r w:rsidRPr="00CE0DD9">
        <w:rPr>
          <w:lang w:val="en-GB"/>
        </w:rPr>
        <w:t>The fourth order of Holy Communion is perhaps the most historic of the</w:t>
      </w:r>
      <w:r w:rsidRPr="00CE0DD9">
        <w:rPr>
          <w:spacing w:val="80"/>
          <w:lang w:val="en-GB"/>
        </w:rPr>
        <w:t xml:space="preserve"> </w:t>
      </w:r>
      <w:r w:rsidRPr="00CE0DD9">
        <w:rPr>
          <w:lang w:val="en-GB"/>
        </w:rPr>
        <w:t xml:space="preserve">four services for the United Reformed Church. Usually thought of as the order from </w:t>
      </w:r>
      <w:r w:rsidRPr="00CE0DD9">
        <w:rPr>
          <w:i/>
          <w:lang w:val="en-GB"/>
        </w:rPr>
        <w:t>New Church Praise</w:t>
      </w:r>
      <w:r w:rsidRPr="00CE0DD9">
        <w:rPr>
          <w:lang w:val="en-GB"/>
        </w:rPr>
        <w:t>, it</w:t>
      </w:r>
    </w:p>
    <w:p w14:paraId="559DE20D" w14:textId="77777777" w:rsidR="00F21FF7" w:rsidRPr="00CE0DD9" w:rsidRDefault="00CE0DD9">
      <w:pPr>
        <w:pStyle w:val="BodyText"/>
        <w:spacing w:line="254" w:lineRule="auto"/>
        <w:ind w:right="465"/>
        <w:rPr>
          <w:lang w:val="en-GB"/>
        </w:rPr>
      </w:pPr>
      <w:r w:rsidRPr="00CE0DD9">
        <w:rPr>
          <w:lang w:val="en-GB"/>
        </w:rPr>
        <w:t>had appeared shortly before that, being produced at the request of the first United Reformed Church</w:t>
      </w:r>
    </w:p>
    <w:p w14:paraId="559DE20E" w14:textId="77777777" w:rsidR="00F21FF7" w:rsidRPr="00CE0DD9" w:rsidRDefault="00CE0DD9">
      <w:pPr>
        <w:pStyle w:val="BodyText"/>
        <w:spacing w:line="254" w:lineRule="auto"/>
        <w:ind w:right="121"/>
        <w:rPr>
          <w:lang w:val="en-GB"/>
        </w:rPr>
      </w:pPr>
      <w:r w:rsidRPr="00CE0DD9">
        <w:rPr>
          <w:lang w:val="en-GB"/>
        </w:rPr>
        <w:t xml:space="preserve">General Assembly in 1973. Primarily the work of James Todd, it drew on material from both the Presbyterian and Congregational churches, and ecumenically from the Joint Liturgical Group of Great Britain. Much of the material used in it can be found at the front of </w:t>
      </w:r>
      <w:r w:rsidRPr="00CE0DD9">
        <w:rPr>
          <w:i/>
          <w:lang w:val="en-GB"/>
        </w:rPr>
        <w:t>Rejoice and Sing</w:t>
      </w:r>
      <w:r w:rsidRPr="00CE0DD9">
        <w:rPr>
          <w:lang w:val="en-GB"/>
        </w:rPr>
        <w:t>, and the first section of thanksgiving prayer can be varied to reflect the different seasons</w:t>
      </w:r>
    </w:p>
    <w:p w14:paraId="559DE20F" w14:textId="77777777" w:rsidR="00F21FF7" w:rsidRPr="00CE0DD9" w:rsidRDefault="00CE0DD9">
      <w:pPr>
        <w:pStyle w:val="BodyText"/>
        <w:spacing w:before="22"/>
        <w:rPr>
          <w:lang w:val="en-GB"/>
        </w:rPr>
      </w:pPr>
      <w:r w:rsidRPr="00CE0DD9">
        <w:rPr>
          <w:lang w:val="en-GB"/>
        </w:rPr>
        <w:t>and</w:t>
      </w:r>
      <w:r w:rsidRPr="00CE0DD9">
        <w:rPr>
          <w:spacing w:val="11"/>
          <w:lang w:val="en-GB"/>
        </w:rPr>
        <w:t xml:space="preserve"> </w:t>
      </w:r>
      <w:r w:rsidRPr="00CE0DD9">
        <w:rPr>
          <w:lang w:val="en-GB"/>
        </w:rPr>
        <w:t>festivals</w:t>
      </w:r>
      <w:r w:rsidRPr="00CE0DD9">
        <w:rPr>
          <w:spacing w:val="11"/>
          <w:lang w:val="en-GB"/>
        </w:rPr>
        <w:t xml:space="preserve"> </w:t>
      </w:r>
      <w:r w:rsidRPr="00CE0DD9">
        <w:rPr>
          <w:lang w:val="en-GB"/>
        </w:rPr>
        <w:t>of</w:t>
      </w:r>
      <w:r w:rsidRPr="00CE0DD9">
        <w:rPr>
          <w:spacing w:val="11"/>
          <w:lang w:val="en-GB"/>
        </w:rPr>
        <w:t xml:space="preserve"> </w:t>
      </w:r>
      <w:r w:rsidRPr="00CE0DD9">
        <w:rPr>
          <w:lang w:val="en-GB"/>
        </w:rPr>
        <w:t>the</w:t>
      </w:r>
      <w:r w:rsidRPr="00CE0DD9">
        <w:rPr>
          <w:spacing w:val="11"/>
          <w:lang w:val="en-GB"/>
        </w:rPr>
        <w:t xml:space="preserve"> </w:t>
      </w:r>
      <w:r w:rsidRPr="00CE0DD9">
        <w:rPr>
          <w:lang w:val="en-GB"/>
        </w:rPr>
        <w:t>church</w:t>
      </w:r>
      <w:r w:rsidRPr="00CE0DD9">
        <w:rPr>
          <w:spacing w:val="12"/>
          <w:lang w:val="en-GB"/>
        </w:rPr>
        <w:t xml:space="preserve"> </w:t>
      </w:r>
      <w:r w:rsidRPr="00CE0DD9">
        <w:rPr>
          <w:spacing w:val="-2"/>
          <w:lang w:val="en-GB"/>
        </w:rPr>
        <w:t>year.</w:t>
      </w:r>
    </w:p>
    <w:p w14:paraId="559DE210" w14:textId="77777777" w:rsidR="00F21FF7" w:rsidRPr="00CE0DD9" w:rsidRDefault="00F21FF7">
      <w:pPr>
        <w:rPr>
          <w:lang w:val="en-GB"/>
        </w:rPr>
        <w:sectPr w:rsidR="00F21FF7" w:rsidRPr="00CE0DD9">
          <w:type w:val="continuous"/>
          <w:pgSz w:w="11900" w:h="16840"/>
          <w:pgMar w:top="960" w:right="1020" w:bottom="280" w:left="1680" w:header="720" w:footer="720" w:gutter="0"/>
          <w:cols w:num="2" w:space="720" w:equalWidth="0">
            <w:col w:w="4792" w:space="40"/>
            <w:col w:w="4368"/>
          </w:cols>
        </w:sectPr>
      </w:pPr>
    </w:p>
    <w:p w14:paraId="559DE211" w14:textId="77777777" w:rsidR="00F21FF7" w:rsidRPr="00CE0DD9" w:rsidRDefault="00CE0DD9">
      <w:pPr>
        <w:tabs>
          <w:tab w:val="left" w:pos="8840"/>
        </w:tabs>
        <w:spacing w:before="231"/>
        <w:ind w:left="2585"/>
        <w:rPr>
          <w:rFonts w:ascii="Arial Narrow"/>
          <w:b/>
          <w:sz w:val="24"/>
          <w:lang w:val="en-GB"/>
        </w:rPr>
      </w:pPr>
      <w:r w:rsidRPr="00CE0DD9">
        <w:rPr>
          <w:color w:val="3C3C3B"/>
          <w:lang w:val="en-GB"/>
        </w:rPr>
        <w:t>Worship</w:t>
      </w:r>
      <w:r w:rsidRPr="00CE0DD9">
        <w:rPr>
          <w:color w:val="3C3C3B"/>
          <w:spacing w:val="30"/>
          <w:lang w:val="en-GB"/>
        </w:rPr>
        <w:t xml:space="preserve"> </w:t>
      </w:r>
      <w:r w:rsidRPr="00CE0DD9">
        <w:rPr>
          <w:color w:val="3C3C3B"/>
          <w:lang w:val="en-GB"/>
        </w:rPr>
        <w:t>from</w:t>
      </w:r>
      <w:r w:rsidRPr="00CE0DD9">
        <w:rPr>
          <w:color w:val="3C3C3B"/>
          <w:spacing w:val="31"/>
          <w:lang w:val="en-GB"/>
        </w:rPr>
        <w:t xml:space="preserve"> </w:t>
      </w:r>
      <w:r w:rsidRPr="00CE0DD9">
        <w:rPr>
          <w:color w:val="3C3C3B"/>
          <w:lang w:val="en-GB"/>
        </w:rPr>
        <w:t>the</w:t>
      </w:r>
      <w:r w:rsidRPr="00CE0DD9">
        <w:rPr>
          <w:color w:val="3C3C3B"/>
          <w:spacing w:val="30"/>
          <w:lang w:val="en-GB"/>
        </w:rPr>
        <w:t xml:space="preserve"> </w:t>
      </w:r>
      <w:r w:rsidRPr="00CE0DD9">
        <w:rPr>
          <w:color w:val="3C3C3B"/>
          <w:lang w:val="en-GB"/>
        </w:rPr>
        <w:t>URC</w:t>
      </w:r>
      <w:r w:rsidRPr="00CE0DD9">
        <w:rPr>
          <w:color w:val="3C3C3B"/>
          <w:spacing w:val="31"/>
          <w:lang w:val="en-GB"/>
        </w:rPr>
        <w:t xml:space="preserve"> </w:t>
      </w:r>
      <w:r w:rsidRPr="00CE0DD9">
        <w:rPr>
          <w:color w:val="3C3C3B"/>
          <w:lang w:val="en-GB"/>
        </w:rPr>
        <w:t>|</w:t>
      </w:r>
      <w:r w:rsidRPr="00CE0DD9">
        <w:rPr>
          <w:color w:val="3C3C3B"/>
          <w:spacing w:val="31"/>
          <w:lang w:val="en-GB"/>
        </w:rPr>
        <w:t xml:space="preserve"> </w:t>
      </w:r>
      <w:r w:rsidRPr="00CE0DD9">
        <w:rPr>
          <w:color w:val="3C3C3B"/>
          <w:lang w:val="en-GB"/>
        </w:rPr>
        <w:t>Introduction</w:t>
      </w:r>
      <w:r w:rsidRPr="00CE0DD9">
        <w:rPr>
          <w:color w:val="3C3C3B"/>
          <w:spacing w:val="30"/>
          <w:lang w:val="en-GB"/>
        </w:rPr>
        <w:t xml:space="preserve"> </w:t>
      </w:r>
      <w:r w:rsidRPr="00CE0DD9">
        <w:rPr>
          <w:color w:val="3C3C3B"/>
          <w:lang w:val="en-GB"/>
        </w:rPr>
        <w:t>to</w:t>
      </w:r>
      <w:r w:rsidRPr="00CE0DD9">
        <w:rPr>
          <w:color w:val="3C3C3B"/>
          <w:spacing w:val="31"/>
          <w:lang w:val="en-GB"/>
        </w:rPr>
        <w:t xml:space="preserve"> </w:t>
      </w:r>
      <w:r w:rsidRPr="00CE0DD9">
        <w:rPr>
          <w:color w:val="3C3C3B"/>
          <w:lang w:val="en-GB"/>
        </w:rPr>
        <w:t>Communion</w:t>
      </w:r>
      <w:r w:rsidRPr="00CE0DD9">
        <w:rPr>
          <w:color w:val="3C3C3B"/>
          <w:spacing w:val="31"/>
          <w:lang w:val="en-GB"/>
        </w:rPr>
        <w:t xml:space="preserve"> </w:t>
      </w:r>
      <w:r w:rsidRPr="00CE0DD9">
        <w:rPr>
          <w:color w:val="3C3C3B"/>
          <w:spacing w:val="-2"/>
          <w:lang w:val="en-GB"/>
        </w:rPr>
        <w:t>orders</w:t>
      </w:r>
      <w:r w:rsidRPr="00CE0DD9">
        <w:rPr>
          <w:color w:val="3C3C3B"/>
          <w:lang w:val="en-GB"/>
        </w:rPr>
        <w:tab/>
      </w:r>
      <w:r w:rsidRPr="00CE0DD9">
        <w:rPr>
          <w:rFonts w:ascii="Arial Narrow"/>
          <w:b/>
          <w:spacing w:val="-5"/>
          <w:sz w:val="24"/>
          <w:lang w:val="en-GB"/>
        </w:rPr>
        <w:t>B4</w:t>
      </w:r>
    </w:p>
    <w:sectPr w:rsidR="00F21FF7" w:rsidRPr="00CE0DD9">
      <w:type w:val="continuous"/>
      <w:pgSz w:w="11900" w:h="16840"/>
      <w:pgMar w:top="960" w:right="10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F21FF7"/>
    <w:rsid w:val="000F68BB"/>
    <w:rsid w:val="00CE0DD9"/>
    <w:rsid w:val="00F21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DE1FB"/>
  <w15:docId w15:val="{825140B1-5E9F-4A73-85CD-0727CE40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91"/>
    </w:pPr>
    <w:rPr>
      <w:sz w:val="23"/>
      <w:szCs w:val="23"/>
    </w:rPr>
  </w:style>
  <w:style w:type="paragraph" w:styleId="Title">
    <w:name w:val="Title"/>
    <w:basedOn w:val="Normal"/>
    <w:uiPriority w:val="10"/>
    <w:qFormat/>
    <w:pPr>
      <w:spacing w:before="56"/>
      <w:ind w:left="134"/>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8" ma:contentTypeDescription="Create a new document." ma:contentTypeScope="" ma:versionID="76194b04c518157cf0ed5c6bb70f5657">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ede0442e926e511d88d3caddb865487c"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4c39d4d-64ec-4058-a805-31ab6c1052fe">
      <Terms xmlns="http://schemas.microsoft.com/office/infopath/2007/PartnerControls"/>
    </lcf76f155ced4ddcb4097134ff3c332f>
    <_ip_UnifiedCompliancePolicyProperties xmlns="http://schemas.microsoft.com/sharepoint/v3" xsi:nil="true"/>
    <TaxCatchAll xmlns="37b8247b-92ea-43dd-b6d5-6ded56920b0f" xsi:nil="true"/>
    <Time xmlns="d4c39d4d-64ec-4058-a805-31ab6c1052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A966FB-D0D9-4F3F-AFA0-EF1A7A342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90C15-D74E-4D47-BECE-DD9A9B854C65}">
  <ds:schemaRefs>
    <ds:schemaRef ds:uri="http://schemas.microsoft.com/office/2006/metadata/properties"/>
    <ds:schemaRef ds:uri="http://schemas.microsoft.com/office/infopath/2007/PartnerControls"/>
    <ds:schemaRef ds:uri="http://schemas.microsoft.com/sharepoint/v3"/>
    <ds:schemaRef ds:uri="d4c39d4d-64ec-4058-a805-31ab6c1052fe"/>
    <ds:schemaRef ds:uri="37b8247b-92ea-43dd-b6d5-6ded56920b0f"/>
  </ds:schemaRefs>
</ds:datastoreItem>
</file>

<file path=customXml/itemProps3.xml><?xml version="1.0" encoding="utf-8"?>
<ds:datastoreItem xmlns:ds="http://schemas.openxmlformats.org/officeDocument/2006/customXml" ds:itemID="{A5A44012-1695-42A2-88DF-162E8B6F34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2</cp:revision>
  <dcterms:created xsi:type="dcterms:W3CDTF">2024-11-22T10:53:00Z</dcterms:created>
  <dcterms:modified xsi:type="dcterms:W3CDTF">2024-11-22T10:53:00Z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Adobe InDesign 20.0 (Windows)</vt:lpwstr>
  </property>
  <property fmtid="{D5CDD505-2E9C-101B-9397-08002B2CF9AE}" pid="4" name="LastSaved">
    <vt:filetime>2024-11-22T00:00:00Z</vt:filetime>
  </property>
  <property fmtid="{D5CDD505-2E9C-101B-9397-08002B2CF9AE}" pid="5" name="Producer">
    <vt:lpwstr>Adobe PDF Library 17.0</vt:lpwstr>
  </property>
  <property fmtid="{D5CDD505-2E9C-101B-9397-08002B2CF9AE}" pid="6" name="ContentTypeId">
    <vt:lpwstr>0x010100E54B357E28AA8C4BA2B526D8E8642675</vt:lpwstr>
  </property>
  <property fmtid="{D5CDD505-2E9C-101B-9397-08002B2CF9AE}" pid="7" name="MediaServiceImageTags">
    <vt:lpwstr/>
  </property>
</Properties>
</file>